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8E" w:rsidRPr="00AB25CF" w:rsidRDefault="00F8678E" w:rsidP="00F867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B25CF">
        <w:rPr>
          <w:b/>
          <w:sz w:val="22"/>
          <w:szCs w:val="22"/>
        </w:rPr>
        <w:t xml:space="preserve">Regionalno istraživanje Transparency International o finansiranju izbornih kampanja </w:t>
      </w: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B25CF">
        <w:rPr>
          <w:b/>
          <w:sz w:val="22"/>
          <w:szCs w:val="22"/>
        </w:rPr>
        <w:t>ŠTA JE KRINIS (CRINIS) ISTRAŽIVANJE</w:t>
      </w: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25CF">
        <w:rPr>
          <w:sz w:val="22"/>
          <w:szCs w:val="22"/>
        </w:rPr>
        <w:t>CRINIS istraživanje je osmislio Transparency International. Istaživanje obuhvata procenu 75 indikatora koji obuhvataju i propise i njihovo sprovođenje u praksi. Cilj je da se se utvrdi koliko je sistem finansiranja kampanje imun na korupciju. Istraživanje obuhvata ocenu kvaliteta propisa, finansijskih izveštaja učesnika na izborima i kontrolnih organa a zasnovano je na stručnim analizama, intervjuima sa predstavnicima svih relevantnih institucija i grupa (stručnjaci, predstavnici partija, državni službenici, novinari itd.)</w:t>
      </w: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8678E" w:rsidRPr="00AB25CF" w:rsidRDefault="00F8678E" w:rsidP="00F8678E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Istraživanje su sproveli ogran</w:t>
      </w:r>
      <w:r w:rsidRPr="00AB25CF">
        <w:rPr>
          <w:sz w:val="22"/>
          <w:szCs w:val="22"/>
        </w:rPr>
        <w:t>ci Transparency International u Hrvatskoj, Makedoniji, Albaniji, Srbiji kao i na teritoriji Kosova. Ovogodišnji i</w:t>
      </w:r>
      <w:r w:rsidRPr="00AB25CF">
        <w:rPr>
          <w:color w:val="000000"/>
          <w:sz w:val="22"/>
          <w:szCs w:val="22"/>
        </w:rPr>
        <w:t>zveštaj analizira propise i njihovu primenu tokom kampanja za izbore odžane 2012. godine u Hrvatskoj, Makedoniji, Srbiji i na Kosovu, kao i neke aspekte redovnog godišnjeg finansiranja stranaka u Albaniji. Obuhvata osam oblasti u vezi sa finansiranjem izborne kampanje: podnošenje izveštaja kontrolnim organima, detaljnost izveštavanja, pouzdanost izveštavanja, dostupnost informacija, preventivne mere, kaznene mere, državni nadzor i javni nadzor.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 xml:space="preserve">Predstavljeni rezultati su samo deo projektnih aktivnosti. Pored toga, Transparentnost – Srbija je izvršila monitoring ﬁnansiranja izborne kampanje iz maja 2012, izvršila analizu izveštaja sa republičkih, pokrajinskih i lokalnih izbora koje su podneli učesnici na tim izborima i analizu postupanja nadležnih državnih organa. Transparentnost – Srbija je svojim predlozima doprinela uočavanju potrebe da se preduzmu zakonske i druge mere u oblasti ﬁnansiranja politickih stranaka u nedavno usvojenoj antikorupcijskoj strategiji. Dali smo i konkretne predloge za dopunu Akcionog plana za sprovođenje strategije kao i pojedinih povezanih propisa (npr. Zakon o prekršajima, Krivični zakonik). Organizovali smo i seriju okruglih stolova na kojima sa predstavnicima stranaka, medija, udruženja, revizora, privrednika, tužilaca, sudija za prekršaje i predstavnicima drugih državnih organa razmatrali dosadašnju primenu zakona i potrebnih promena i formulisali smo niz preporuka kako za izmenu propisa, tako i za dalje postupanje državnih organa. 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 xml:space="preserve">Ovaj regionalni projekat je finansijski podržalo Ministarstvo spoljnih poslova Kraljevine Norveške. </w:t>
      </w:r>
    </w:p>
    <w:p w:rsidR="00F8678E" w:rsidRDefault="00F8678E" w:rsidP="00F8678E">
      <w:pPr>
        <w:jc w:val="both"/>
        <w:rPr>
          <w:b/>
          <w:sz w:val="22"/>
          <w:szCs w:val="22"/>
        </w:rPr>
      </w:pP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b/>
          <w:sz w:val="22"/>
          <w:szCs w:val="22"/>
        </w:rPr>
        <w:t xml:space="preserve">ŠTA SU NAJVEĆI PROBLEMI U REGIONU 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5CF">
        <w:rPr>
          <w:color w:val="000000"/>
          <w:sz w:val="22"/>
          <w:szCs w:val="22"/>
        </w:rPr>
        <w:t xml:space="preserve">U regionalnom izveštaju je ukazano na neke značajne propuste u propisima, ali i na činjenicu da u svim zemljama/teritorijama, čak i kada postoje dobri propisi, njihova primena nije na zadovoljavajućem nivou. </w:t>
      </w: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5CF">
        <w:rPr>
          <w:color w:val="000000"/>
          <w:sz w:val="22"/>
          <w:szCs w:val="22"/>
        </w:rPr>
        <w:t>Kao glavne slabosti i problemi u celom regionu uočeni su sledeći:</w:t>
      </w: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AB25CF">
        <w:rPr>
          <w:b/>
          <w:color w:val="000000"/>
          <w:sz w:val="22"/>
          <w:szCs w:val="22"/>
        </w:rPr>
        <w:tab/>
        <w:t>SANKCIJE</w:t>
      </w: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5CF">
        <w:rPr>
          <w:color w:val="000000"/>
          <w:sz w:val="22"/>
          <w:szCs w:val="22"/>
        </w:rPr>
        <w:t xml:space="preserve">Sankcionisanje političkih partija za neispunjavanje obaveza u skladu sa propisima je slabo u svim analiziranim </w:t>
      </w:r>
      <w:r w:rsidR="00853F87">
        <w:rPr>
          <w:color w:val="000000"/>
          <w:sz w:val="22"/>
          <w:szCs w:val="22"/>
        </w:rPr>
        <w:t>zemljama. Čak i tamo gde postoji</w:t>
      </w:r>
      <w:r w:rsidRPr="00AB25CF">
        <w:rPr>
          <w:color w:val="000000"/>
          <w:sz w:val="22"/>
          <w:szCs w:val="22"/>
        </w:rPr>
        <w:t xml:space="preserve"> relativno kvalitetan sistem kažnjavanja, on se gotovo uopšte ne primenjuje.</w:t>
      </w: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8678E" w:rsidRPr="00AB25CF" w:rsidRDefault="00F8678E" w:rsidP="00F8678E">
      <w:pPr>
        <w:ind w:firstLine="720"/>
        <w:jc w:val="both"/>
        <w:rPr>
          <w:b/>
          <w:sz w:val="22"/>
          <w:szCs w:val="22"/>
        </w:rPr>
      </w:pPr>
      <w:r w:rsidRPr="00AB25CF">
        <w:rPr>
          <w:b/>
          <w:sz w:val="22"/>
          <w:szCs w:val="22"/>
        </w:rPr>
        <w:lastRenderedPageBreak/>
        <w:t>PREVENCIJA</w:t>
      </w:r>
    </w:p>
    <w:p w:rsidR="00F8678E" w:rsidRDefault="00F8678E" w:rsidP="00F8678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Preventivni mehanizmi za sprečavanje zloupotreba</w:t>
      </w:r>
      <w:r w:rsidRPr="00AB25CF">
        <w:rPr>
          <w:color w:val="000000"/>
          <w:sz w:val="22"/>
          <w:szCs w:val="22"/>
        </w:rPr>
        <w:t xml:space="preserve"> u sistemu finansiranja političkih partija</w:t>
      </w:r>
      <w:r>
        <w:rPr>
          <w:color w:val="000000"/>
          <w:sz w:val="22"/>
          <w:szCs w:val="22"/>
        </w:rPr>
        <w:t xml:space="preserve"> su nedovoljni</w:t>
      </w:r>
      <w:r w:rsidRPr="00AB25CF">
        <w:rPr>
          <w:color w:val="000000"/>
          <w:sz w:val="22"/>
          <w:szCs w:val="22"/>
        </w:rPr>
        <w:t>. Na Kosovu i u Makedoniji nisu</w:t>
      </w:r>
      <w:r>
        <w:rPr>
          <w:color w:val="000000"/>
          <w:sz w:val="22"/>
          <w:szCs w:val="22"/>
        </w:rPr>
        <w:t xml:space="preserve"> zabranjene donacije u gotovini (u Srbiji i Hrvatskoj jesu). </w:t>
      </w: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color w:val="00A0EF"/>
          <w:sz w:val="22"/>
          <w:szCs w:val="22"/>
        </w:rPr>
      </w:pPr>
    </w:p>
    <w:p w:rsidR="00F8678E" w:rsidRPr="00AB25CF" w:rsidRDefault="00F8678E" w:rsidP="00F8678E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AB25CF">
        <w:rPr>
          <w:b/>
          <w:color w:val="000000"/>
          <w:sz w:val="22"/>
          <w:szCs w:val="22"/>
        </w:rPr>
        <w:t xml:space="preserve">POUZDANOST IZVEŠTAVANJA </w:t>
      </w:r>
    </w:p>
    <w:p w:rsidR="00F8678E" w:rsidRPr="00AB25CF" w:rsidRDefault="00F8678E" w:rsidP="00F8678E">
      <w:pPr>
        <w:jc w:val="both"/>
        <w:rPr>
          <w:color w:val="000000"/>
          <w:sz w:val="22"/>
          <w:szCs w:val="22"/>
        </w:rPr>
      </w:pPr>
      <w:r w:rsidRPr="00AB25CF">
        <w:rPr>
          <w:color w:val="000000"/>
          <w:sz w:val="22"/>
          <w:szCs w:val="22"/>
        </w:rPr>
        <w:t xml:space="preserve">U Srbiji, na Kosovu i u Makedoniji ne postoji poverenje javnosti u pouzdanost izveštaja koje podnose politički subjekti. </w:t>
      </w:r>
    </w:p>
    <w:p w:rsidR="00F8678E" w:rsidRDefault="00F8678E" w:rsidP="00F8678E">
      <w:pPr>
        <w:jc w:val="both"/>
        <w:rPr>
          <w:color w:val="000000"/>
          <w:sz w:val="22"/>
          <w:szCs w:val="22"/>
        </w:rPr>
      </w:pPr>
    </w:p>
    <w:p w:rsidR="00F8678E" w:rsidRPr="00AB25CF" w:rsidRDefault="00F8678E" w:rsidP="00F8678E">
      <w:pPr>
        <w:jc w:val="both"/>
        <w:rPr>
          <w:b/>
          <w:sz w:val="22"/>
          <w:szCs w:val="22"/>
        </w:rPr>
      </w:pPr>
      <w:r w:rsidRPr="00AB25CF">
        <w:rPr>
          <w:b/>
          <w:sz w:val="22"/>
          <w:szCs w:val="22"/>
        </w:rPr>
        <w:t>DOBRA PRAKSA U REGIONU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</w:p>
    <w:p w:rsidR="00F8678E" w:rsidRPr="00AB25CF" w:rsidRDefault="00F8678E" w:rsidP="00F8678E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AB25CF">
        <w:rPr>
          <w:sz w:val="22"/>
          <w:szCs w:val="22"/>
        </w:rPr>
        <w:t>U Makedoniji i Hrvatskoj izveštaji se podnose i tokom kampanje, a ne samo po njenom završetku, t</w:t>
      </w:r>
      <w:r>
        <w:rPr>
          <w:sz w:val="22"/>
          <w:szCs w:val="22"/>
        </w:rPr>
        <w:t xml:space="preserve">ako da </w:t>
      </w:r>
      <w:r w:rsidRPr="00AB25CF">
        <w:rPr>
          <w:sz w:val="22"/>
          <w:szCs w:val="22"/>
        </w:rPr>
        <w:t xml:space="preserve">građani </w:t>
      </w:r>
      <w:r>
        <w:rPr>
          <w:sz w:val="22"/>
          <w:szCs w:val="22"/>
        </w:rPr>
        <w:t xml:space="preserve">i pre izbora mogu da </w:t>
      </w:r>
      <w:r w:rsidRPr="00AB25CF">
        <w:rPr>
          <w:sz w:val="22"/>
          <w:szCs w:val="22"/>
        </w:rPr>
        <w:t xml:space="preserve">znaju ko finansira stranku za koju glasaju. U Makedoniji učesnici na izborima podnose tri izveštaja – prvi izveštaj 11. dana kampanje, drugi na polovini kapmanje i treći 30 dana po okončanju kampanje. </w:t>
      </w:r>
    </w:p>
    <w:p w:rsidR="00F8678E" w:rsidRPr="00AB25CF" w:rsidRDefault="00F8678E" w:rsidP="00F8678E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AB25CF">
        <w:rPr>
          <w:sz w:val="22"/>
          <w:szCs w:val="22"/>
        </w:rPr>
        <w:t>Mediji su u Makedoniji zakonom obavezani da objave jedinstven cenovnik oglašavanja.</w:t>
      </w:r>
    </w:p>
    <w:p w:rsidR="00F8678E" w:rsidRPr="00AB25CF" w:rsidRDefault="00F8678E" w:rsidP="00F8678E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AB25CF">
        <w:rPr>
          <w:sz w:val="22"/>
          <w:szCs w:val="22"/>
        </w:rPr>
        <w:t xml:space="preserve">Mediji u Makedoniji moraju, najkasnije 15 dana po okončanju kampanje, da podnesu detaljan izveštaj o reklamnom prostoru koji su dobili svi učesnici na izborima i cenom tog prostora. </w:t>
      </w:r>
    </w:p>
    <w:p w:rsidR="00F8678E" w:rsidRPr="00AB25CF" w:rsidRDefault="00F8678E" w:rsidP="00F867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5CF">
        <w:rPr>
          <w:color w:val="000000"/>
          <w:sz w:val="22"/>
          <w:szCs w:val="22"/>
        </w:rPr>
        <w:t>U Hrvatskoj postoje poreske stimulacije za pravna lica koja javno objave svoje donacije u izbornoj kampanji.</w:t>
      </w:r>
    </w:p>
    <w:p w:rsidR="00F8678E" w:rsidRPr="00AB25CF" w:rsidRDefault="00F8678E" w:rsidP="00F8678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3F87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Ceo regionalni izveštaj dostupan je na:</w:t>
      </w:r>
    </w:p>
    <w:p w:rsidR="00F8678E" w:rsidRPr="00AB25CF" w:rsidRDefault="00E233CE" w:rsidP="00F8678E">
      <w:pPr>
        <w:jc w:val="both"/>
        <w:rPr>
          <w:sz w:val="22"/>
          <w:szCs w:val="22"/>
        </w:rPr>
      </w:pPr>
      <w:hyperlink r:id="rId7" w:history="1">
        <w:r w:rsidR="00F8678E" w:rsidRPr="00AB25CF">
          <w:rPr>
            <w:rStyle w:val="Hyperlink"/>
            <w:sz w:val="22"/>
            <w:szCs w:val="22"/>
          </w:rPr>
          <w:t>http://www.transparency.org/whatwedo/pub/buying_influence_money_and_elections_in_the_balkans</w:t>
        </w:r>
      </w:hyperlink>
    </w:p>
    <w:p w:rsidR="00F8678E" w:rsidRDefault="00F8678E" w:rsidP="00F8678E">
      <w:pPr>
        <w:jc w:val="both"/>
        <w:rPr>
          <w:color w:val="000000"/>
          <w:sz w:val="22"/>
          <w:szCs w:val="22"/>
        </w:rPr>
      </w:pPr>
    </w:p>
    <w:p w:rsidR="00F8678E" w:rsidRPr="00AB25CF" w:rsidRDefault="00F8678E" w:rsidP="00F8678E">
      <w:pPr>
        <w:jc w:val="both"/>
        <w:rPr>
          <w:color w:val="000000"/>
          <w:sz w:val="22"/>
          <w:szCs w:val="22"/>
        </w:rPr>
      </w:pPr>
    </w:p>
    <w:p w:rsidR="00F8678E" w:rsidRPr="00AB25CF" w:rsidRDefault="00F8678E" w:rsidP="00F867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AB25CF">
        <w:rPr>
          <w:b/>
          <w:sz w:val="22"/>
          <w:szCs w:val="22"/>
        </w:rPr>
        <w:lastRenderedPageBreak/>
        <w:t>NAJVEĆI PROBLEMI U SRBIJI</w:t>
      </w:r>
    </w:p>
    <w:p w:rsidR="00F8678E" w:rsidRPr="00AB25CF" w:rsidRDefault="00F8678E" w:rsidP="00F8678E">
      <w:pPr>
        <w:jc w:val="both"/>
        <w:rPr>
          <w:b/>
          <w:sz w:val="22"/>
          <w:szCs w:val="22"/>
        </w:rPr>
      </w:pPr>
    </w:p>
    <w:p w:rsidR="00F8678E" w:rsidRPr="00AB25CF" w:rsidRDefault="00F8678E" w:rsidP="00F8678E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sr-Latn-CS"/>
        </w:rPr>
      </w:pPr>
      <w:r w:rsidRPr="00AB25CF">
        <w:rPr>
          <w:sz w:val="22"/>
          <w:szCs w:val="22"/>
          <w:lang w:eastAsia="sr-Latn-CS"/>
        </w:rPr>
        <w:t>Pouzdanost izveštavanja</w:t>
      </w:r>
      <w:r>
        <w:rPr>
          <w:sz w:val="22"/>
          <w:szCs w:val="22"/>
          <w:lang w:eastAsia="sr-Latn-CS"/>
        </w:rPr>
        <w:t xml:space="preserve"> o finansiranju kampanje</w:t>
      </w:r>
      <w:r w:rsidRPr="00AB25CF">
        <w:rPr>
          <w:sz w:val="22"/>
          <w:szCs w:val="22"/>
          <w:lang w:eastAsia="sr-Latn-CS"/>
        </w:rPr>
        <w:t xml:space="preserve"> je u Srbiji ocenjena kao najslabija od osam oblasti koje su analizirane, sa ocenom 3,6 na skali od 0 do 10. </w:t>
      </w:r>
      <w:r>
        <w:rPr>
          <w:sz w:val="22"/>
          <w:szCs w:val="22"/>
          <w:lang w:eastAsia="sr-Latn-CS"/>
        </w:rPr>
        <w:t xml:space="preserve">Među razlozima za nizak stepen poverenja mogu se navesti </w:t>
      </w:r>
      <w:r w:rsidRPr="00AB25CF">
        <w:rPr>
          <w:sz w:val="22"/>
          <w:szCs w:val="22"/>
          <w:lang w:eastAsia="sr-Latn-CS"/>
        </w:rPr>
        <w:t>činjenica da je k</w:t>
      </w:r>
      <w:r>
        <w:rPr>
          <w:sz w:val="22"/>
          <w:szCs w:val="22"/>
          <w:lang w:eastAsia="sr-Latn-CS"/>
        </w:rPr>
        <w:t>rajnji</w:t>
      </w:r>
      <w:r w:rsidRPr="00AB25CF">
        <w:rPr>
          <w:sz w:val="22"/>
          <w:szCs w:val="22"/>
          <w:lang w:eastAsia="sr-Latn-CS"/>
        </w:rPr>
        <w:t xml:space="preserve"> izvor</w:t>
      </w:r>
      <w:r>
        <w:rPr>
          <w:sz w:val="22"/>
          <w:szCs w:val="22"/>
          <w:lang w:eastAsia="sr-Latn-CS"/>
        </w:rPr>
        <w:t xml:space="preserve"> finansiranja</w:t>
      </w:r>
      <w:r w:rsidRPr="00AB25CF">
        <w:rPr>
          <w:sz w:val="22"/>
          <w:szCs w:val="22"/>
          <w:lang w:eastAsia="sr-Latn-CS"/>
        </w:rPr>
        <w:t xml:space="preserve"> za gotovo polovinu novca koji je potrošen u kampanji </w:t>
      </w:r>
      <w:r>
        <w:rPr>
          <w:sz w:val="22"/>
          <w:szCs w:val="22"/>
          <w:lang w:eastAsia="sr-Latn-CS"/>
        </w:rPr>
        <w:t xml:space="preserve">za parlamentarne izbore </w:t>
      </w:r>
      <w:r w:rsidRPr="00AB25CF">
        <w:rPr>
          <w:sz w:val="22"/>
          <w:szCs w:val="22"/>
          <w:lang w:eastAsia="sr-Latn-CS"/>
        </w:rPr>
        <w:t xml:space="preserve">i dalje je nepoznat (22 odsto </w:t>
      </w:r>
      <w:r>
        <w:rPr>
          <w:sz w:val="22"/>
          <w:szCs w:val="22"/>
          <w:lang w:eastAsia="sr-Latn-CS"/>
        </w:rPr>
        <w:t>čine krediti a</w:t>
      </w:r>
      <w:r w:rsidRPr="00AB25CF">
        <w:rPr>
          <w:sz w:val="22"/>
          <w:szCs w:val="22"/>
          <w:lang w:eastAsia="sr-Latn-CS"/>
        </w:rPr>
        <w:t xml:space="preserve"> 26 odsto </w:t>
      </w:r>
      <w:r>
        <w:rPr>
          <w:sz w:val="22"/>
          <w:szCs w:val="22"/>
          <w:lang w:eastAsia="sr-Latn-CS"/>
        </w:rPr>
        <w:t xml:space="preserve">dugovi), </w:t>
      </w:r>
      <w:r w:rsidRPr="00AB25CF">
        <w:rPr>
          <w:sz w:val="22"/>
          <w:szCs w:val="22"/>
          <w:lang w:eastAsia="sr-Latn-CS"/>
        </w:rPr>
        <w:t>brojne pojedinačne donacije sa identičnim iznosima, kao i donacije pravnih lica koja su poslovala sa gubicima</w:t>
      </w:r>
      <w:r>
        <w:rPr>
          <w:sz w:val="22"/>
          <w:szCs w:val="22"/>
          <w:lang w:eastAsia="sr-Latn-CS"/>
        </w:rPr>
        <w:t xml:space="preserve"> i neprijavljivanje troškova</w:t>
      </w:r>
      <w:r w:rsidRPr="00AB25CF">
        <w:rPr>
          <w:sz w:val="22"/>
          <w:szCs w:val="22"/>
          <w:lang w:eastAsia="sr-Latn-CS"/>
        </w:rPr>
        <w:t xml:space="preserve"> koji su uočeni monitoringom.</w:t>
      </w:r>
    </w:p>
    <w:p w:rsidR="00F8678E" w:rsidRPr="00AB25CF" w:rsidRDefault="00F8678E" w:rsidP="00F8678E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sr-Latn-CS"/>
        </w:rPr>
      </w:pP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U oblasti sankcionisanja, zakonske odredbe u Srbiji dobile su visoku ocenu 7,8, ali je praksa u sankcionisanju ocenjena sa 0,9. To ne čudi kada se uzme u obzir činjenica da nijedna stranka nikada nije kažnjena zbog krše</w:t>
      </w:r>
      <w:r>
        <w:rPr>
          <w:sz w:val="22"/>
          <w:szCs w:val="22"/>
        </w:rPr>
        <w:t>nja odredbi zakona koji regulišu</w:t>
      </w:r>
      <w:r w:rsidRPr="00AB25CF">
        <w:rPr>
          <w:sz w:val="22"/>
          <w:szCs w:val="22"/>
        </w:rPr>
        <w:t xml:space="preserve"> finansiranje izborne kampanje.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 xml:space="preserve">Zakon u Srbiji propisuje da kontrolna institucija (Agencija za borbu protiv korupcije) mora da objavi izveštaje koje podnose partije, ali ne propisuje rok za njihovo objavljivanje, niti način </w:t>
      </w:r>
      <w:r>
        <w:rPr>
          <w:sz w:val="22"/>
          <w:szCs w:val="22"/>
        </w:rPr>
        <w:t xml:space="preserve">na koji </w:t>
      </w:r>
      <w:r w:rsidRPr="00AB25CF">
        <w:rPr>
          <w:sz w:val="22"/>
          <w:szCs w:val="22"/>
        </w:rPr>
        <w:t xml:space="preserve">ih treba učiniti dostupnim javnosti. 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</w:p>
    <w:p w:rsidR="00F8678E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Agencija za borbu protiv korupcije</w:t>
      </w:r>
      <w:r>
        <w:rPr>
          <w:sz w:val="22"/>
          <w:szCs w:val="22"/>
        </w:rPr>
        <w:t>, Državna revizorska institucija, Republička radiodifuzna agencija i javno tužilaštvo</w:t>
      </w:r>
      <w:r w:rsidRPr="00AB25CF">
        <w:rPr>
          <w:sz w:val="22"/>
          <w:szCs w:val="22"/>
        </w:rPr>
        <w:t xml:space="preserve"> ima</w:t>
      </w:r>
      <w:r>
        <w:rPr>
          <w:sz w:val="22"/>
          <w:szCs w:val="22"/>
        </w:rPr>
        <w:t xml:space="preserve">ju široka zakonska ovlašćenja za ispitivanje nezakonitog finansiranja kampanje, ali ne i jasno postavljene obaveze u pogledu obima tog ispitivanja i rokova da se ono obavi. 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Od 2011. godine, Srbija ima solidan pravni okvir koji ureduje ﬁnansiranje predizbornih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kampanja. Zakon sadrži obavezu izveštavanja o svim prihodima i rashodima izborne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kampanje kao i obavezu da se sva sredstva namenje</w:t>
      </w:r>
      <w:r>
        <w:rPr>
          <w:sz w:val="22"/>
          <w:szCs w:val="22"/>
        </w:rPr>
        <w:t>na za ﬁnansiranje kampanje uplać</w:t>
      </w:r>
      <w:r w:rsidRPr="00AB25CF">
        <w:rPr>
          <w:sz w:val="22"/>
          <w:szCs w:val="22"/>
        </w:rPr>
        <w:t>uju na</w:t>
      </w:r>
      <w:r>
        <w:rPr>
          <w:sz w:val="22"/>
          <w:szCs w:val="22"/>
        </w:rPr>
        <w:t xml:space="preserve"> poseban račun i da se sva plać</w:t>
      </w:r>
      <w:r w:rsidRPr="00AB25CF">
        <w:rPr>
          <w:sz w:val="22"/>
          <w:szCs w:val="22"/>
        </w:rPr>
        <w:t>anja t</w:t>
      </w:r>
      <w:r>
        <w:rPr>
          <w:sz w:val="22"/>
          <w:szCs w:val="22"/>
        </w:rPr>
        <w:t>roškova kampanje vrše sa tog rač</w:t>
      </w:r>
      <w:r w:rsidRPr="00AB25CF">
        <w:rPr>
          <w:sz w:val="22"/>
          <w:szCs w:val="22"/>
        </w:rPr>
        <w:t>una. Pravni okvir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predvida i sankcije za nepoštovanje pravila, dok je kontrola izveštaja o troškovima izborne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kampanje poverena nezavisnom organu – Agenciji za borbu protiv korupcije.  I pored toga, i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dalje su potrebna znacajana unapredenja zakons</w:t>
      </w:r>
      <w:r w:rsidR="00853F87">
        <w:rPr>
          <w:sz w:val="22"/>
          <w:szCs w:val="22"/>
        </w:rPr>
        <w:t>kog okvira kako bi se: (i) spreč</w:t>
      </w:r>
      <w:r w:rsidRPr="00AB25CF">
        <w:rPr>
          <w:sz w:val="22"/>
          <w:szCs w:val="22"/>
        </w:rPr>
        <w:t>ilo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zaobilaženje zakonskih zabrana kroz ﬁnan</w:t>
      </w:r>
      <w:r w:rsidR="00853F87">
        <w:rPr>
          <w:sz w:val="22"/>
          <w:szCs w:val="22"/>
        </w:rPr>
        <w:t>siranje kampanja od strane „treć</w:t>
      </w:r>
      <w:r w:rsidRPr="00AB25CF">
        <w:rPr>
          <w:sz w:val="22"/>
          <w:szCs w:val="22"/>
        </w:rPr>
        <w:t>ih lica” (npr.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nevladinih organizacija, ﬁrmi) i kroz zloupotrebu javni</w:t>
      </w:r>
      <w:r>
        <w:rPr>
          <w:sz w:val="22"/>
          <w:szCs w:val="22"/>
        </w:rPr>
        <w:t>h sredstava; (ii) obezbedila već</w:t>
      </w:r>
      <w:r w:rsidRPr="00AB25CF">
        <w:rPr>
          <w:sz w:val="22"/>
          <w:szCs w:val="22"/>
        </w:rPr>
        <w:t>a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transparentnost podataka o ﬁnansiranju kampanja; i (iii) o</w:t>
      </w:r>
      <w:r>
        <w:rPr>
          <w:sz w:val="22"/>
          <w:szCs w:val="22"/>
        </w:rPr>
        <w:t>bezbedilo</w:t>
      </w:r>
      <w:r w:rsidRPr="00AB25CF">
        <w:rPr>
          <w:sz w:val="22"/>
          <w:szCs w:val="22"/>
        </w:rPr>
        <w:t xml:space="preserve"> da sve nezakonitosti budu</w:t>
      </w:r>
    </w:p>
    <w:p w:rsidR="00F8678E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 xml:space="preserve">pravovremeno utvrdene i propisno sankcionisane.  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Iskustvo sa izbora organizovanih u maju 2012. pokazuje da je nov zakonski okvir doneo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neka pobolj</w:t>
      </w:r>
      <w:r>
        <w:rPr>
          <w:sz w:val="22"/>
          <w:szCs w:val="22"/>
        </w:rPr>
        <w:t>šanja u praksi. Značajno poveć</w:t>
      </w:r>
      <w:r w:rsidRPr="00AB25CF">
        <w:rPr>
          <w:sz w:val="22"/>
          <w:szCs w:val="22"/>
        </w:rPr>
        <w:t>anje budžetskih izdvajanja, najavljena kontrola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izveštaja o troškovima kampanje od strane Agencije za borbu protiv korupcije kao i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monitoring koje su vršile organizacije civilnog društva</w:t>
      </w:r>
      <w:r>
        <w:rPr>
          <w:sz w:val="22"/>
          <w:szCs w:val="22"/>
        </w:rPr>
        <w:t>, udruženo su uticali na politič</w:t>
      </w:r>
      <w:r w:rsidRPr="00AB25CF">
        <w:rPr>
          <w:sz w:val="22"/>
          <w:szCs w:val="22"/>
        </w:rPr>
        <w:t>ke</w:t>
      </w:r>
      <w:r>
        <w:rPr>
          <w:sz w:val="22"/>
          <w:szCs w:val="22"/>
        </w:rPr>
        <w:t xml:space="preserve"> partije da prijave već</w:t>
      </w:r>
      <w:r w:rsidRPr="00AB25CF">
        <w:rPr>
          <w:sz w:val="22"/>
          <w:szCs w:val="22"/>
        </w:rPr>
        <w:t>i iznos prihoda i troškova kampanja nego ikada ranije. Uporedo sa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navedenim po</w:t>
      </w:r>
      <w:r w:rsidR="00853F87">
        <w:rPr>
          <w:sz w:val="22"/>
          <w:szCs w:val="22"/>
        </w:rPr>
        <w:t>boljšanjem, zapaženi su i različ</w:t>
      </w:r>
      <w:r w:rsidRPr="00AB25CF">
        <w:rPr>
          <w:sz w:val="22"/>
          <w:szCs w:val="22"/>
        </w:rPr>
        <w:t>iti oblici ozbiljnih kršenja zakona, od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nepoštovanja formalnih zahteva u popunjavanju izveštaja, rasprostranjenog nedostavljanja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izveštaja o troškovima kam</w:t>
      </w:r>
      <w:r>
        <w:rPr>
          <w:sz w:val="22"/>
          <w:szCs w:val="22"/>
        </w:rPr>
        <w:t>panje za lokalne izbore, nenavođ</w:t>
      </w:r>
      <w:r w:rsidRPr="00AB25CF">
        <w:rPr>
          <w:sz w:val="22"/>
          <w:szCs w:val="22"/>
        </w:rPr>
        <w:t>enja pojedinih promotivnih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 xml:space="preserve">troškova do nepružanja </w:t>
      </w:r>
      <w:r w:rsidR="00853F87">
        <w:rPr>
          <w:sz w:val="22"/>
          <w:szCs w:val="22"/>
        </w:rPr>
        <w:t>informacija o prilozima koji rađaju osnov</w:t>
      </w:r>
      <w:r w:rsidRPr="00AB25CF">
        <w:rPr>
          <w:sz w:val="22"/>
          <w:szCs w:val="22"/>
        </w:rPr>
        <w:t xml:space="preserve"> za sumnju. Štaviše,</w:t>
      </w:r>
      <w:r>
        <w:rPr>
          <w:sz w:val="22"/>
          <w:szCs w:val="22"/>
        </w:rPr>
        <w:t xml:space="preserve"> </w:t>
      </w:r>
      <w:r w:rsidR="00853F87">
        <w:rPr>
          <w:sz w:val="22"/>
          <w:szCs w:val="22"/>
        </w:rPr>
        <w:t>delimič</w:t>
      </w:r>
      <w:r w:rsidRPr="00AB25CF">
        <w:rPr>
          <w:sz w:val="22"/>
          <w:szCs w:val="22"/>
        </w:rPr>
        <w:t>no usled nejasnosti zakonskih odredbi o kreditima i preuzetim obavezama, za skoro</w:t>
      </w:r>
    </w:p>
    <w:p w:rsidR="00F8678E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polovinu ukupno prijavljenih troškova kampanje, javnost i dalje ima samo delimi</w:t>
      </w:r>
      <w:r>
        <w:rPr>
          <w:sz w:val="22"/>
          <w:szCs w:val="22"/>
        </w:rPr>
        <w:t>č</w:t>
      </w:r>
      <w:r w:rsidRPr="00AB25CF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saznanja o krajnjim izvorima ﬁnansiranja. Agencija za borbu protiv korupcije je sprovela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monitoring troškova kampanje, ali je u mesecima nakon kampanje izostala temeljna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kontrola. Agencija je</w:t>
      </w:r>
      <w:r>
        <w:rPr>
          <w:sz w:val="22"/>
          <w:szCs w:val="22"/>
        </w:rPr>
        <w:t xml:space="preserve"> krajem prošle godine</w:t>
      </w:r>
      <w:r w:rsidRPr="00AB25CF">
        <w:rPr>
          <w:sz w:val="22"/>
          <w:szCs w:val="22"/>
        </w:rPr>
        <w:t xml:space="preserve"> ubrzala postupak kontrole i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 xml:space="preserve">podnela prve prekršajne prijave (protiv politickih partija koje nisu </w:t>
      </w:r>
      <w:r w:rsidRPr="00AB25CF">
        <w:rPr>
          <w:sz w:val="22"/>
          <w:szCs w:val="22"/>
        </w:rPr>
        <w:lastRenderedPageBreak/>
        <w:t>podnele izveštaj o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prihodima i troškovima kampanje) u decembru 2012</w:t>
      </w:r>
      <w:r w:rsidRPr="00AB25CF">
        <w:rPr>
          <w:b/>
          <w:bCs/>
          <w:sz w:val="22"/>
          <w:szCs w:val="22"/>
        </w:rPr>
        <w:t>¹</w:t>
      </w:r>
      <w:r w:rsidRPr="00AB25CF">
        <w:rPr>
          <w:sz w:val="22"/>
          <w:szCs w:val="22"/>
        </w:rPr>
        <w:t>. Preliminarni nalazi drugih aspekata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kontrole predstavljeni su 31. maja 2013</w:t>
      </w:r>
      <w:r w:rsidRPr="00AB25CF">
        <w:rPr>
          <w:b/>
          <w:bCs/>
          <w:sz w:val="22"/>
          <w:szCs w:val="22"/>
        </w:rPr>
        <w:t>²</w:t>
      </w:r>
      <w:r w:rsidRPr="00AB25C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8678E" w:rsidRDefault="00F8678E" w:rsidP="00F8678E">
      <w:pPr>
        <w:jc w:val="both"/>
        <w:rPr>
          <w:sz w:val="22"/>
          <w:szCs w:val="22"/>
        </w:rPr>
      </w:pPr>
    </w:p>
    <w:p w:rsidR="00F8678E" w:rsidRPr="00AB25CF" w:rsidRDefault="00F8678E" w:rsidP="00F867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Kontrola drugih slučajeva u kojima se sumnja na nezakonitosti je još veći problem. Na primer, i pored brojnih sumnji i međusobnih optužbi, trenutno se vodi samo jedna istraga zbog zloupotreba javnih resursa u izbornoj kampanji (protiv bivšeg predsednika opštine Bojnik) i samo jedan postupak zbog sumnji u „kupovinu glasova“ (u Novom Sadu). 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</w:p>
    <w:p w:rsidR="00F8678E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Generalno posmatrano, u kontekstu CRINIS istraživanja, zakonski okvir Srbije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ocenjen je sa 8.1, a praksa postupanja sa 5.5. U ok</w:t>
      </w:r>
      <w:r>
        <w:rPr>
          <w:sz w:val="22"/>
          <w:szCs w:val="22"/>
        </w:rPr>
        <w:t>viru zakonskog okvira kao najjač</w:t>
      </w:r>
      <w:r w:rsidRPr="00AB25CF">
        <w:rPr>
          <w:sz w:val="22"/>
          <w:szCs w:val="22"/>
        </w:rPr>
        <w:t>e oblasti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 xml:space="preserve">ocenjene su „obim izveštavanja” </w:t>
      </w:r>
      <w:r w:rsidR="00853F87"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usled iscrpnih zakonskih odredbi o prijavljivanju izvora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prihoda i troškova, raz</w:t>
      </w:r>
      <w:r>
        <w:rPr>
          <w:sz w:val="22"/>
          <w:szCs w:val="22"/>
        </w:rPr>
        <w:t>vrstanih prema vrsti i dobavljač</w:t>
      </w:r>
      <w:r w:rsidRPr="00AB25CF">
        <w:rPr>
          <w:sz w:val="22"/>
          <w:szCs w:val="22"/>
        </w:rPr>
        <w:t>u, kao i oblast „javni nadzor” zbog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širokih nadležnosti koje zakon daje Agenciji za borbu protiv korupcije u postupku kontrole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 xml:space="preserve">izveštaja o prihodima i troškovima kampanje. </w:t>
      </w:r>
    </w:p>
    <w:p w:rsidR="00F8678E" w:rsidRDefault="00F8678E" w:rsidP="00F8678E">
      <w:pPr>
        <w:jc w:val="both"/>
        <w:rPr>
          <w:sz w:val="22"/>
          <w:szCs w:val="22"/>
        </w:rPr>
      </w:pP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Sa druge strane, kao najslabiji deo zakonskog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okvira ocenjena je oblast „prevencije”, usled n</w:t>
      </w:r>
      <w:r>
        <w:rPr>
          <w:sz w:val="22"/>
          <w:szCs w:val="22"/>
        </w:rPr>
        <w:t xml:space="preserve">edostatka mera koje bi omogućile </w:t>
      </w:r>
      <w:r w:rsidRPr="00AB25CF">
        <w:rPr>
          <w:sz w:val="22"/>
          <w:szCs w:val="22"/>
        </w:rPr>
        <w:t xml:space="preserve">prijavljivanje neregularnosti u ﬁnansiranju kampanje. </w:t>
      </w:r>
    </w:p>
    <w:p w:rsidR="00F8678E" w:rsidRDefault="00F8678E" w:rsidP="00F8678E">
      <w:pPr>
        <w:jc w:val="both"/>
        <w:rPr>
          <w:sz w:val="22"/>
          <w:szCs w:val="22"/>
        </w:rPr>
      </w:pP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U delu istraživanja koji se odnosi na praksu postupanja, kao najbolje ocenjene oblasti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izdvajaju se „obim izveštavanja”, iako i u ovoj oblasti postoje znacajne slabosti, kao i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„detaljnost izveštavanja”, što je uglavnom posledica nivoa detaljnosti izveštajnog obrasca.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</w:p>
    <w:p w:rsidR="00F8678E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Sa druge strane, najslabije su ocenjene oblasti „sankcije”, usled potpunog odsustva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sankcija za nezakonito ﬁnansiranje kampanje još od uvodenja višepartijskog sistema 1990, i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„pouzdanost izveštavanja” usled odsustva sveobuhvatne kontrole i generalnog nepoverenja</w:t>
      </w:r>
      <w:r>
        <w:rPr>
          <w:sz w:val="22"/>
          <w:szCs w:val="22"/>
        </w:rPr>
        <w:t xml:space="preserve"> građana u politič</w:t>
      </w:r>
      <w:r w:rsidRPr="00AB25CF">
        <w:rPr>
          <w:sz w:val="22"/>
          <w:szCs w:val="22"/>
        </w:rPr>
        <w:t xml:space="preserve">ke partije i funkcionisanje “preventivnih mehanizama”. 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</w:p>
    <w:p w:rsidR="00F8678E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Finansiranje kampanja je široko prepoznato kao problem u srpskom društvu. Potreba da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se unapredi zakonski okvir i njegova prime</w:t>
      </w:r>
      <w:r>
        <w:rPr>
          <w:sz w:val="22"/>
          <w:szCs w:val="22"/>
        </w:rPr>
        <w:t>na, jedna je od kljucnih predviđ</w:t>
      </w:r>
      <w:r w:rsidRPr="00AB25CF">
        <w:rPr>
          <w:sz w:val="22"/>
          <w:szCs w:val="22"/>
        </w:rPr>
        <w:t>enih mera za</w:t>
      </w:r>
      <w:r>
        <w:rPr>
          <w:sz w:val="22"/>
          <w:szCs w:val="22"/>
        </w:rPr>
        <w:t xml:space="preserve"> smanjenje politič</w:t>
      </w:r>
      <w:r w:rsidRPr="00AB25CF">
        <w:rPr>
          <w:sz w:val="22"/>
          <w:szCs w:val="22"/>
        </w:rPr>
        <w:t>ke korupcije u novoj Strategiji za borbu protiv korupcije, koja je usvojena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1. jula 2013</w:t>
      </w:r>
      <w:r w:rsidRPr="00AB25CF">
        <w:rPr>
          <w:b/>
          <w:bCs/>
          <w:sz w:val="22"/>
          <w:szCs w:val="22"/>
        </w:rPr>
        <w:t>³</w:t>
      </w:r>
      <w:r w:rsidRPr="00AB25CF">
        <w:rPr>
          <w:sz w:val="22"/>
          <w:szCs w:val="22"/>
        </w:rPr>
        <w:t>. U cilju otklanjanja problema identiﬁkovanih ovim istraživanjem,</w:t>
      </w:r>
      <w:r>
        <w:rPr>
          <w:sz w:val="22"/>
          <w:szCs w:val="22"/>
        </w:rPr>
        <w:t xml:space="preserve"> Transparentnost Srbija ističe sledeće ključ</w:t>
      </w:r>
      <w:r w:rsidRPr="00AB25CF">
        <w:rPr>
          <w:sz w:val="22"/>
          <w:szCs w:val="22"/>
        </w:rPr>
        <w:t>ne preporuke: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1. Izmenama Zakona o ﬁnansiranju pol</w:t>
      </w:r>
      <w:r>
        <w:rPr>
          <w:sz w:val="22"/>
          <w:szCs w:val="22"/>
        </w:rPr>
        <w:t>itickih aktivnosti otkloniti uoč</w:t>
      </w:r>
      <w:r w:rsidRPr="00AB25CF">
        <w:rPr>
          <w:sz w:val="22"/>
          <w:szCs w:val="22"/>
        </w:rPr>
        <w:t>ene pravne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prazn</w:t>
      </w:r>
      <w:r w:rsidR="002E3339">
        <w:rPr>
          <w:sz w:val="22"/>
          <w:szCs w:val="22"/>
        </w:rPr>
        <w:t>ine (“ﬁnansiranje od strane treć</w:t>
      </w:r>
      <w:r w:rsidRPr="00AB25CF">
        <w:rPr>
          <w:sz w:val="22"/>
          <w:szCs w:val="22"/>
        </w:rPr>
        <w:t>ih</w:t>
      </w:r>
      <w:r>
        <w:rPr>
          <w:sz w:val="22"/>
          <w:szCs w:val="22"/>
        </w:rPr>
        <w:t xml:space="preserve"> lica”, vreme vrać</w:t>
      </w:r>
      <w:r w:rsidRPr="00AB25CF">
        <w:rPr>
          <w:sz w:val="22"/>
          <w:szCs w:val="22"/>
        </w:rPr>
        <w:t>anja kredita i izmirenje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preuzeti</w:t>
      </w:r>
      <w:r>
        <w:rPr>
          <w:sz w:val="22"/>
          <w:szCs w:val="22"/>
        </w:rPr>
        <w:t>h obaveza itd.) , obezbediti već</w:t>
      </w:r>
      <w:r w:rsidRPr="00AB25CF">
        <w:rPr>
          <w:sz w:val="22"/>
          <w:szCs w:val="22"/>
        </w:rPr>
        <w:t>u javnost podataka i pravovremenu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 xml:space="preserve">kontrolu;  </w:t>
      </w:r>
    </w:p>
    <w:p w:rsidR="00F8678E" w:rsidRDefault="00F8678E" w:rsidP="00F8678E">
      <w:pPr>
        <w:jc w:val="both"/>
        <w:rPr>
          <w:sz w:val="22"/>
          <w:szCs w:val="22"/>
        </w:rPr>
      </w:pPr>
      <w:r>
        <w:rPr>
          <w:sz w:val="22"/>
          <w:szCs w:val="22"/>
        </w:rPr>
        <w:t>2. Izmenama Krivič</w:t>
      </w:r>
      <w:r w:rsidRPr="00AB25CF">
        <w:rPr>
          <w:sz w:val="22"/>
          <w:szCs w:val="22"/>
        </w:rPr>
        <w:t>nog zakonika, Zakona o budžetskom sistemu, medijskog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zakonodavstva, Zakona o Agenciji za borbu protiv korupcije i Zakona o Državnoj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revizo</w:t>
      </w:r>
      <w:r>
        <w:rPr>
          <w:sz w:val="22"/>
          <w:szCs w:val="22"/>
        </w:rPr>
        <w:t>rskoj instituciji obezbediti već</w:t>
      </w:r>
      <w:r w:rsidRPr="00AB25CF">
        <w:rPr>
          <w:sz w:val="22"/>
          <w:szCs w:val="22"/>
        </w:rPr>
        <w:t>u javnost podataka, bolje planiranje kontrole i</w:t>
      </w:r>
      <w:r>
        <w:rPr>
          <w:sz w:val="22"/>
          <w:szCs w:val="22"/>
        </w:rPr>
        <w:t xml:space="preserve"> sankcionisanje</w:t>
      </w:r>
      <w:r w:rsidRPr="00AB25CF">
        <w:rPr>
          <w:sz w:val="22"/>
          <w:szCs w:val="22"/>
        </w:rPr>
        <w:t xml:space="preserve"> prekršaja u vezi sa ﬁnansiranjem kampanje (npr. kupovina glasova,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zloupotrebe javnih funkcija, prikrivene promocije u medijima i odgovornost za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pravilnu raspodelu budžetskih izdvajanja);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3. Agencija za borbu protiv korupcije i javno tužilaštvo bi trebalo da objave sve</w:t>
      </w:r>
      <w:r>
        <w:rPr>
          <w:sz w:val="22"/>
          <w:szCs w:val="22"/>
        </w:rPr>
        <w:t xml:space="preserve"> sluč</w:t>
      </w:r>
      <w:r w:rsidRPr="00AB25CF">
        <w:rPr>
          <w:sz w:val="22"/>
          <w:szCs w:val="22"/>
        </w:rPr>
        <w:t>ajeve nezakoni</w:t>
      </w:r>
      <w:r>
        <w:rPr>
          <w:sz w:val="22"/>
          <w:szCs w:val="22"/>
        </w:rPr>
        <w:t>tog ﬁnansiranja kampanje, uključ</w:t>
      </w:r>
      <w:r w:rsidRPr="00AB25CF">
        <w:rPr>
          <w:sz w:val="22"/>
          <w:szCs w:val="22"/>
        </w:rPr>
        <w:t>ujuci zloupotrebe javnih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funkcija i kupovinu glasova, pruže zaštitu licima koja prijavljuju ove nezakonitosti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i i</w:t>
      </w:r>
      <w:r w:rsidR="002E3339">
        <w:rPr>
          <w:sz w:val="22"/>
          <w:szCs w:val="22"/>
        </w:rPr>
        <w:t>spitaju sve do sada poznate sluč</w:t>
      </w:r>
      <w:r w:rsidRPr="00AB25CF">
        <w:rPr>
          <w:sz w:val="22"/>
          <w:szCs w:val="22"/>
        </w:rPr>
        <w:t xml:space="preserve">ajeve kršenja propisa;  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lastRenderedPageBreak/>
        <w:t>4. Agencija za borbu protiv korupcije bi trebalo da objavi potpune rezultate kontrole i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pokrene prek</w:t>
      </w:r>
      <w:r>
        <w:rPr>
          <w:sz w:val="22"/>
          <w:szCs w:val="22"/>
        </w:rPr>
        <w:t>ršajne postupke za sve vrste uoč</w:t>
      </w:r>
      <w:r w:rsidRPr="00AB25CF">
        <w:rPr>
          <w:sz w:val="22"/>
          <w:szCs w:val="22"/>
        </w:rPr>
        <w:t xml:space="preserve">enih prekršaja; 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5. Agencija za borbu protiv korupcije i Državna revizorska institucija bi trebalo da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prate neizmirene kredite i obaveze preuzete tokom perioda kampanje, u cilju</w:t>
      </w:r>
      <w:r>
        <w:rPr>
          <w:sz w:val="22"/>
          <w:szCs w:val="22"/>
        </w:rPr>
        <w:t xml:space="preserve"> utvrđ</w:t>
      </w:r>
      <w:r w:rsidRPr="00AB25CF">
        <w:rPr>
          <w:sz w:val="22"/>
          <w:szCs w:val="22"/>
        </w:rPr>
        <w:t>ivanja krajnjeg izvora ﬁnansiranja kampanje i svake eventualne zloupotrebe</w:t>
      </w:r>
      <w:r>
        <w:rPr>
          <w:sz w:val="22"/>
          <w:szCs w:val="22"/>
        </w:rPr>
        <w:t xml:space="preserve"> </w:t>
      </w:r>
      <w:r w:rsidRPr="00AB25CF">
        <w:rPr>
          <w:sz w:val="22"/>
          <w:szCs w:val="22"/>
        </w:rPr>
        <w:t>sredstava namenjenih za ﬁ</w:t>
      </w:r>
      <w:r>
        <w:rPr>
          <w:sz w:val="22"/>
          <w:szCs w:val="22"/>
        </w:rPr>
        <w:t>nansiranje redovnog rada politič</w:t>
      </w:r>
      <w:r w:rsidRPr="00AB25CF">
        <w:rPr>
          <w:sz w:val="22"/>
          <w:szCs w:val="22"/>
        </w:rPr>
        <w:t xml:space="preserve">kih partija.    </w:t>
      </w:r>
    </w:p>
    <w:p w:rsidR="00F8678E" w:rsidRPr="00AB25CF" w:rsidRDefault="00F8678E" w:rsidP="00F8678E">
      <w:pPr>
        <w:jc w:val="both"/>
        <w:rPr>
          <w:sz w:val="22"/>
          <w:szCs w:val="22"/>
        </w:rPr>
      </w:pPr>
    </w:p>
    <w:p w:rsidR="00F8678E" w:rsidRPr="00AB25CF" w:rsidRDefault="00F8678E" w:rsidP="00F8678E">
      <w:pPr>
        <w:jc w:val="both"/>
        <w:rPr>
          <w:sz w:val="22"/>
          <w:szCs w:val="22"/>
        </w:rPr>
      </w:pPr>
      <w:r w:rsidRPr="00AB25CF">
        <w:rPr>
          <w:sz w:val="22"/>
          <w:szCs w:val="22"/>
        </w:rPr>
        <w:t>Ceo izveštaj za Srbiju dostupan je na:</w:t>
      </w:r>
    </w:p>
    <w:p w:rsidR="00F8678E" w:rsidRDefault="00F8678E" w:rsidP="00F8678E">
      <w:pPr>
        <w:jc w:val="both"/>
        <w:rPr>
          <w:sz w:val="22"/>
          <w:szCs w:val="22"/>
        </w:rPr>
      </w:pPr>
    </w:p>
    <w:p w:rsidR="004440CA" w:rsidRPr="00AB25CF" w:rsidRDefault="00E233CE" w:rsidP="00F8678E">
      <w:pPr>
        <w:jc w:val="both"/>
        <w:rPr>
          <w:sz w:val="22"/>
          <w:szCs w:val="22"/>
        </w:rPr>
      </w:pPr>
      <w:hyperlink r:id="rId8" w:tgtFrame="_blank" w:history="1">
        <w:r w:rsidR="004440CA">
          <w:rPr>
            <w:rStyle w:val="Hyperlink"/>
            <w:rFonts w:ascii="Arial" w:hAnsi="Arial" w:cs="Arial"/>
            <w:color w:val="1155CC"/>
            <w:shd w:val="clear" w:color="auto" w:fill="FFFFFF"/>
          </w:rPr>
          <w:t>http://www.transparentnost.org.rs/images/stories/materijali/Crinis%20zapadni/CRINIS%20publikacija%20SRB.pdf</w:t>
        </w:r>
      </w:hyperlink>
    </w:p>
    <w:p w:rsidR="00686DFD" w:rsidRPr="00DF31C1" w:rsidRDefault="00686DFD" w:rsidP="00686DFD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583394" w:rsidRDefault="00583394" w:rsidP="00583394">
      <w:pPr>
        <w:suppressAutoHyphens w:val="0"/>
        <w:spacing w:line="360" w:lineRule="auto"/>
        <w:ind w:right="-99"/>
        <w:jc w:val="center"/>
        <w:rPr>
          <w:i/>
          <w:sz w:val="22"/>
          <w:szCs w:val="22"/>
          <w:lang w:eastAsia="en-US"/>
        </w:rPr>
      </w:pPr>
    </w:p>
    <w:p w:rsidR="00AA01A6" w:rsidRPr="00DE29F8" w:rsidRDefault="00AA01A6" w:rsidP="00AA01A6">
      <w:pPr>
        <w:suppressAutoHyphens w:val="0"/>
        <w:autoSpaceDE w:val="0"/>
        <w:autoSpaceDN w:val="0"/>
        <w:adjustRightInd w:val="0"/>
        <w:rPr>
          <w:rFonts w:eastAsia="ArialMT"/>
          <w:color w:val="383336"/>
          <w:sz w:val="24"/>
          <w:szCs w:val="24"/>
          <w:lang w:val="en-US" w:eastAsia="en-US"/>
        </w:rPr>
      </w:pPr>
      <w:r>
        <w:rPr>
          <w:i/>
          <w:sz w:val="22"/>
          <w:szCs w:val="22"/>
          <w:lang w:eastAsia="en-US"/>
        </w:rPr>
        <w:t xml:space="preserve">   </w:t>
      </w:r>
      <w:r w:rsidRPr="00DE29F8">
        <w:rPr>
          <w:rFonts w:eastAsia="ArialMT"/>
          <w:color w:val="383336"/>
          <w:sz w:val="24"/>
          <w:szCs w:val="24"/>
          <w:lang w:val="en-US" w:eastAsia="en-US"/>
        </w:rPr>
        <w:t>Ova publikacija izrađena je uz podršku</w:t>
      </w:r>
      <w:r>
        <w:rPr>
          <w:rFonts w:eastAsia="ArialMT"/>
          <w:color w:val="383336"/>
          <w:sz w:val="24"/>
          <w:szCs w:val="24"/>
          <w:lang w:val="en-US" w:eastAsia="en-US"/>
        </w:rPr>
        <w:t xml:space="preserve"> </w:t>
      </w:r>
      <w:r w:rsidRPr="00DE29F8">
        <w:rPr>
          <w:rFonts w:eastAsia="ArialMT"/>
          <w:color w:val="383336"/>
          <w:sz w:val="24"/>
          <w:szCs w:val="24"/>
          <w:lang w:val="en-US" w:eastAsia="en-US"/>
        </w:rPr>
        <w:t>Ministarstva spoljnih poslova Kraljevine Norveške.</w:t>
      </w:r>
    </w:p>
    <w:p w:rsidR="00AA01A6" w:rsidRDefault="00AA01A6" w:rsidP="00AA01A6">
      <w:pPr>
        <w:suppressAutoHyphens w:val="0"/>
        <w:autoSpaceDE w:val="0"/>
        <w:autoSpaceDN w:val="0"/>
        <w:adjustRightInd w:val="0"/>
        <w:jc w:val="center"/>
        <w:rPr>
          <w:rFonts w:eastAsia="ArialMT"/>
          <w:color w:val="383336"/>
          <w:sz w:val="24"/>
          <w:szCs w:val="24"/>
          <w:lang w:val="en-US" w:eastAsia="en-US"/>
        </w:rPr>
      </w:pPr>
      <w:r w:rsidRPr="00DE29F8">
        <w:rPr>
          <w:rFonts w:eastAsia="ArialMT"/>
          <w:color w:val="383336"/>
          <w:sz w:val="24"/>
          <w:szCs w:val="24"/>
          <w:lang w:val="en-US" w:eastAsia="en-US"/>
        </w:rPr>
        <w:t>Svi izneti stavovi predstavljaju stavove autora i ne</w:t>
      </w:r>
      <w:r>
        <w:rPr>
          <w:rFonts w:eastAsia="ArialMT"/>
          <w:color w:val="383336"/>
          <w:sz w:val="24"/>
          <w:szCs w:val="24"/>
          <w:lang w:val="en-US" w:eastAsia="en-US"/>
        </w:rPr>
        <w:t xml:space="preserve"> </w:t>
      </w:r>
      <w:r w:rsidRPr="00DE29F8">
        <w:rPr>
          <w:rFonts w:eastAsia="ArialMT"/>
          <w:color w:val="383336"/>
          <w:sz w:val="24"/>
          <w:szCs w:val="24"/>
          <w:lang w:val="en-US" w:eastAsia="en-US"/>
        </w:rPr>
        <w:t>moraju odražavati stavove Ministarstva spoljnih</w:t>
      </w:r>
      <w:r>
        <w:rPr>
          <w:rFonts w:eastAsia="ArialMT"/>
          <w:color w:val="383336"/>
          <w:sz w:val="24"/>
          <w:szCs w:val="24"/>
          <w:lang w:val="en-US" w:eastAsia="en-US"/>
        </w:rPr>
        <w:t xml:space="preserve"> </w:t>
      </w:r>
      <w:r w:rsidRPr="00DE29F8">
        <w:rPr>
          <w:rFonts w:eastAsia="ArialMT"/>
          <w:color w:val="383336"/>
          <w:sz w:val="24"/>
          <w:szCs w:val="24"/>
          <w:lang w:val="en-US" w:eastAsia="en-US"/>
        </w:rPr>
        <w:t>poslova Kraljevine Norveške.</w:t>
      </w:r>
    </w:p>
    <w:p w:rsidR="00AA01A6" w:rsidRDefault="00AA01A6" w:rsidP="00AA01A6">
      <w:pPr>
        <w:suppressAutoHyphens w:val="0"/>
        <w:autoSpaceDE w:val="0"/>
        <w:autoSpaceDN w:val="0"/>
        <w:adjustRightInd w:val="0"/>
        <w:jc w:val="center"/>
        <w:rPr>
          <w:rFonts w:eastAsia="ArialMT"/>
          <w:color w:val="383336"/>
          <w:sz w:val="24"/>
          <w:szCs w:val="24"/>
          <w:lang w:val="en-US" w:eastAsia="en-US"/>
        </w:rPr>
      </w:pPr>
    </w:p>
    <w:p w:rsidR="007846BB" w:rsidRPr="00FA0752" w:rsidRDefault="00AA01A6" w:rsidP="00AA01A6">
      <w:pPr>
        <w:suppressAutoHyphens w:val="0"/>
        <w:spacing w:line="360" w:lineRule="auto"/>
        <w:ind w:right="-99"/>
        <w:jc w:val="center"/>
        <w:rPr>
          <w:sz w:val="22"/>
          <w:szCs w:val="22"/>
          <w:lang w:val="sr-Latn-CS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666875" cy="942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6BB" w:rsidRPr="00FA0752" w:rsidSect="00686DFD">
      <w:headerReference w:type="default" r:id="rId10"/>
      <w:footerReference w:type="default" r:id="rId11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DA9" w:rsidRDefault="00D93DA9">
      <w:r>
        <w:separator/>
      </w:r>
    </w:p>
  </w:endnote>
  <w:endnote w:type="continuationSeparator" w:id="1">
    <w:p w:rsidR="00D93DA9" w:rsidRDefault="00D93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4923A7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</w:t>
    </w:r>
    <w:r w:rsidR="00D6180E">
      <w:rPr>
        <w:rFonts w:ascii="Tahoma" w:hAnsi="Tahoma" w:cs="Tahoma"/>
        <w:sz w:val="16"/>
        <w:szCs w:val="16"/>
        <w:lang w:val="sl-SI"/>
      </w:rPr>
      <w:t xml:space="preserve"> organizacije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 w:rsidR="00D6180E">
      <w:rPr>
        <w:rFonts w:ascii="Tahoma" w:hAnsi="Tahoma" w:cs="Tahoma"/>
        <w:sz w:val="16"/>
        <w:szCs w:val="16"/>
        <w:lang w:val="sl-SI"/>
      </w:rPr>
      <w:t>u Republici Srbiji</w:t>
    </w:r>
  </w:p>
  <w:p w:rsidR="005A4E20" w:rsidRDefault="00E233CE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894B45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894B45" w:rsidRPr="005A4E20" w:rsidRDefault="00894B45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DA9" w:rsidRDefault="00D93DA9">
      <w:r>
        <w:separator/>
      </w:r>
    </w:p>
  </w:footnote>
  <w:footnote w:type="continuationSeparator" w:id="1">
    <w:p w:rsidR="00D93DA9" w:rsidRDefault="00D93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E233CE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E233CE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</w:t>
                </w:r>
                <w:r w:rsidR="00B4653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5A4E20" w:rsidRPr="005A4E20" w:rsidRDefault="00894B45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Telefon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78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05</w:t>
                </w:r>
              </w:p>
              <w:p w:rsidR="005A4E20" w:rsidRPr="005A4E20" w:rsidRDefault="00C5579D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="00FA0752"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F8678E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327589" w:rsidRDefault="004923A7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5A4E20" w:rsidRPr="00327589" w:rsidRDefault="004923A7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85A47"/>
    <w:multiLevelType w:val="hybridMultilevel"/>
    <w:tmpl w:val="4CD63D0E"/>
    <w:lvl w:ilvl="0" w:tplc="CB0C4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1C5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4E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6A7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42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C0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28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32A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AE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1240C"/>
    <w:rsid w:val="00021344"/>
    <w:rsid w:val="000459BF"/>
    <w:rsid w:val="0009480A"/>
    <w:rsid w:val="00094829"/>
    <w:rsid w:val="000A6379"/>
    <w:rsid w:val="000C3237"/>
    <w:rsid w:val="000E06BE"/>
    <w:rsid w:val="000F0F38"/>
    <w:rsid w:val="00104CA4"/>
    <w:rsid w:val="00122FAA"/>
    <w:rsid w:val="00174B43"/>
    <w:rsid w:val="00176E7C"/>
    <w:rsid w:val="00191AE6"/>
    <w:rsid w:val="001A336F"/>
    <w:rsid w:val="001A5EE9"/>
    <w:rsid w:val="001B7479"/>
    <w:rsid w:val="001D3752"/>
    <w:rsid w:val="001E6A95"/>
    <w:rsid w:val="001E78B4"/>
    <w:rsid w:val="00206150"/>
    <w:rsid w:val="00206DB4"/>
    <w:rsid w:val="00211122"/>
    <w:rsid w:val="00216F79"/>
    <w:rsid w:val="00220275"/>
    <w:rsid w:val="002221C8"/>
    <w:rsid w:val="0023605C"/>
    <w:rsid w:val="00246C49"/>
    <w:rsid w:val="00250666"/>
    <w:rsid w:val="00254FCE"/>
    <w:rsid w:val="00263676"/>
    <w:rsid w:val="002831ED"/>
    <w:rsid w:val="00283CB7"/>
    <w:rsid w:val="002B05EB"/>
    <w:rsid w:val="002B296E"/>
    <w:rsid w:val="002B5DD8"/>
    <w:rsid w:val="002D1C16"/>
    <w:rsid w:val="002E3339"/>
    <w:rsid w:val="002F70D8"/>
    <w:rsid w:val="00301C8F"/>
    <w:rsid w:val="003055AF"/>
    <w:rsid w:val="00316525"/>
    <w:rsid w:val="00321827"/>
    <w:rsid w:val="003429EF"/>
    <w:rsid w:val="0036230D"/>
    <w:rsid w:val="0036574C"/>
    <w:rsid w:val="00366FAE"/>
    <w:rsid w:val="00391055"/>
    <w:rsid w:val="003A4299"/>
    <w:rsid w:val="003C2910"/>
    <w:rsid w:val="003C3BFF"/>
    <w:rsid w:val="003C7E49"/>
    <w:rsid w:val="003D1BFE"/>
    <w:rsid w:val="003D3730"/>
    <w:rsid w:val="003E0A5B"/>
    <w:rsid w:val="003E6150"/>
    <w:rsid w:val="003F5DA1"/>
    <w:rsid w:val="003F7B9E"/>
    <w:rsid w:val="004076A5"/>
    <w:rsid w:val="004440CA"/>
    <w:rsid w:val="004709E9"/>
    <w:rsid w:val="00475EBE"/>
    <w:rsid w:val="004923A7"/>
    <w:rsid w:val="004B1843"/>
    <w:rsid w:val="004B6A19"/>
    <w:rsid w:val="00502BB8"/>
    <w:rsid w:val="00505382"/>
    <w:rsid w:val="00520AE6"/>
    <w:rsid w:val="00531EC1"/>
    <w:rsid w:val="005334CC"/>
    <w:rsid w:val="00533F70"/>
    <w:rsid w:val="0055049C"/>
    <w:rsid w:val="00576656"/>
    <w:rsid w:val="00583394"/>
    <w:rsid w:val="005A0FE6"/>
    <w:rsid w:val="005A4E20"/>
    <w:rsid w:val="005B29BD"/>
    <w:rsid w:val="005C447F"/>
    <w:rsid w:val="005C4990"/>
    <w:rsid w:val="005C58E0"/>
    <w:rsid w:val="005F2123"/>
    <w:rsid w:val="00600484"/>
    <w:rsid w:val="00602008"/>
    <w:rsid w:val="00621335"/>
    <w:rsid w:val="00630334"/>
    <w:rsid w:val="00632651"/>
    <w:rsid w:val="006333E8"/>
    <w:rsid w:val="00636BE2"/>
    <w:rsid w:val="0063797E"/>
    <w:rsid w:val="006454D8"/>
    <w:rsid w:val="006511BF"/>
    <w:rsid w:val="00652691"/>
    <w:rsid w:val="00664697"/>
    <w:rsid w:val="006715D6"/>
    <w:rsid w:val="006863B5"/>
    <w:rsid w:val="00686DFD"/>
    <w:rsid w:val="00694937"/>
    <w:rsid w:val="006C0810"/>
    <w:rsid w:val="006D1744"/>
    <w:rsid w:val="006E32F2"/>
    <w:rsid w:val="006F63BD"/>
    <w:rsid w:val="00722E45"/>
    <w:rsid w:val="00724909"/>
    <w:rsid w:val="00751758"/>
    <w:rsid w:val="00757F8E"/>
    <w:rsid w:val="00775FC1"/>
    <w:rsid w:val="007834CB"/>
    <w:rsid w:val="007846BB"/>
    <w:rsid w:val="007C02B9"/>
    <w:rsid w:val="007C0FB2"/>
    <w:rsid w:val="007C1DA0"/>
    <w:rsid w:val="007E5C34"/>
    <w:rsid w:val="007F1EC7"/>
    <w:rsid w:val="00826577"/>
    <w:rsid w:val="00843264"/>
    <w:rsid w:val="00853F87"/>
    <w:rsid w:val="008572E4"/>
    <w:rsid w:val="00881A2D"/>
    <w:rsid w:val="00894B45"/>
    <w:rsid w:val="008A5977"/>
    <w:rsid w:val="008C1CA5"/>
    <w:rsid w:val="008D6944"/>
    <w:rsid w:val="008E2E83"/>
    <w:rsid w:val="008E6195"/>
    <w:rsid w:val="008F0C15"/>
    <w:rsid w:val="009208B0"/>
    <w:rsid w:val="00932A0B"/>
    <w:rsid w:val="009339CF"/>
    <w:rsid w:val="00933E8A"/>
    <w:rsid w:val="00954BD8"/>
    <w:rsid w:val="00973EC2"/>
    <w:rsid w:val="009B64E3"/>
    <w:rsid w:val="009C3658"/>
    <w:rsid w:val="009C6383"/>
    <w:rsid w:val="009E7F8F"/>
    <w:rsid w:val="00A20FAA"/>
    <w:rsid w:val="00A47E55"/>
    <w:rsid w:val="00A640C2"/>
    <w:rsid w:val="00A82CD4"/>
    <w:rsid w:val="00A930A4"/>
    <w:rsid w:val="00A94592"/>
    <w:rsid w:val="00AA01A6"/>
    <w:rsid w:val="00AA447C"/>
    <w:rsid w:val="00AA6DC6"/>
    <w:rsid w:val="00AB2094"/>
    <w:rsid w:val="00AB3EDC"/>
    <w:rsid w:val="00AC319C"/>
    <w:rsid w:val="00AD25BD"/>
    <w:rsid w:val="00AE1E51"/>
    <w:rsid w:val="00AF2058"/>
    <w:rsid w:val="00B065A1"/>
    <w:rsid w:val="00B163BE"/>
    <w:rsid w:val="00B33BDC"/>
    <w:rsid w:val="00B4653C"/>
    <w:rsid w:val="00B530C0"/>
    <w:rsid w:val="00B56320"/>
    <w:rsid w:val="00B61664"/>
    <w:rsid w:val="00B70218"/>
    <w:rsid w:val="00B768EB"/>
    <w:rsid w:val="00B80C48"/>
    <w:rsid w:val="00B95A38"/>
    <w:rsid w:val="00B9786A"/>
    <w:rsid w:val="00BA2EB8"/>
    <w:rsid w:val="00BC0135"/>
    <w:rsid w:val="00BD5148"/>
    <w:rsid w:val="00BE47B0"/>
    <w:rsid w:val="00BF2454"/>
    <w:rsid w:val="00C14486"/>
    <w:rsid w:val="00C4772B"/>
    <w:rsid w:val="00C5579D"/>
    <w:rsid w:val="00C833CC"/>
    <w:rsid w:val="00C949F8"/>
    <w:rsid w:val="00CB3A62"/>
    <w:rsid w:val="00CB409A"/>
    <w:rsid w:val="00CD4422"/>
    <w:rsid w:val="00CF20A1"/>
    <w:rsid w:val="00D249D0"/>
    <w:rsid w:val="00D45431"/>
    <w:rsid w:val="00D57133"/>
    <w:rsid w:val="00D6180E"/>
    <w:rsid w:val="00D8622F"/>
    <w:rsid w:val="00D93DA9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E233CE"/>
    <w:rsid w:val="00E307DA"/>
    <w:rsid w:val="00E35FF4"/>
    <w:rsid w:val="00E523D6"/>
    <w:rsid w:val="00EA54C2"/>
    <w:rsid w:val="00EB1D48"/>
    <w:rsid w:val="00EE23B7"/>
    <w:rsid w:val="00EE69C6"/>
    <w:rsid w:val="00EE6A9F"/>
    <w:rsid w:val="00EF4383"/>
    <w:rsid w:val="00EF4A76"/>
    <w:rsid w:val="00F025BD"/>
    <w:rsid w:val="00F27450"/>
    <w:rsid w:val="00F336FD"/>
    <w:rsid w:val="00F345CB"/>
    <w:rsid w:val="00F44D3B"/>
    <w:rsid w:val="00F47F06"/>
    <w:rsid w:val="00F54E4E"/>
    <w:rsid w:val="00F55D8C"/>
    <w:rsid w:val="00F64277"/>
    <w:rsid w:val="00F7443E"/>
    <w:rsid w:val="00F813D0"/>
    <w:rsid w:val="00F8433E"/>
    <w:rsid w:val="00F8678E"/>
    <w:rsid w:val="00F931AB"/>
    <w:rsid w:val="00F935B5"/>
    <w:rsid w:val="00FA0752"/>
    <w:rsid w:val="00FA5624"/>
    <w:rsid w:val="00FB1D31"/>
    <w:rsid w:val="00FC4EFC"/>
    <w:rsid w:val="00FC5CB7"/>
    <w:rsid w:val="00FE3643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0A5B"/>
    <w:pPr>
      <w:suppressAutoHyphens w:val="0"/>
    </w:pPr>
    <w:rPr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4440CA"/>
  </w:style>
  <w:style w:type="character" w:styleId="Emphasis">
    <w:name w:val="Emphasis"/>
    <w:basedOn w:val="DefaultParagraphFont"/>
    <w:uiPriority w:val="20"/>
    <w:qFormat/>
    <w:rsid w:val="004440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tnost.org.rs/images/stories/materijali/Crinis%20zapadni/CRINIS%20publikacija%20SR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ansparency.org/whatwedo/pub/buying_influence_money_and_elections_in_the_balka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gospodine Vujčić,</vt:lpstr>
    </vt:vector>
  </TitlesOfParts>
  <Company>Transparency Serbia</Company>
  <LinksUpToDate>false</LinksUpToDate>
  <CharactersWithSpaces>11992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creator>Bane</dc:creator>
  <cp:lastModifiedBy>x4</cp:lastModifiedBy>
  <cp:revision>6</cp:revision>
  <cp:lastPrinted>2013-07-31T08:30:00Z</cp:lastPrinted>
  <dcterms:created xsi:type="dcterms:W3CDTF">2013-07-31T07:32:00Z</dcterms:created>
  <dcterms:modified xsi:type="dcterms:W3CDTF">2013-07-31T08:30:00Z</dcterms:modified>
</cp:coreProperties>
</file>